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cs="Times New Roman" w:eastAsiaTheme="majorEastAsia"/>
          <w:sz w:val="28"/>
          <w:szCs w:val="28"/>
          <w:lang w:val="en-US" w:eastAsia="zh-CN"/>
        </w:rPr>
      </w:pPr>
      <w:r>
        <w:rPr>
          <w:rFonts w:hint="eastAsia" w:ascii="宋体" w:hAnsi="宋体" w:cs="Times New Roman" w:eastAsiaTheme="majorEastAsia"/>
          <w:sz w:val="28"/>
          <w:szCs w:val="28"/>
          <w:lang w:val="en-US" w:eastAsia="zh-CN"/>
        </w:rPr>
        <w:t>教学评价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Times New Roman" w:eastAsiaTheme="majorEastAsia"/>
          <w:sz w:val="24"/>
          <w:szCs w:val="24"/>
          <w:lang w:val="en-US" w:eastAsia="zh-CN"/>
        </w:rPr>
      </w:pPr>
      <w:r>
        <w:rPr>
          <w:rFonts w:hint="eastAsia" w:ascii="宋体" w:hAnsi="宋体" w:cs="Times New Roman" w:eastAsiaTheme="majorEastAsia"/>
          <w:sz w:val="24"/>
          <w:szCs w:val="24"/>
          <w:lang w:val="en-US" w:eastAsia="zh-CN"/>
        </w:rPr>
        <w:t>课程体系注重培养学员的实践技能及综合知识运用能力，在教学中采用互动启发式教学，在夯实在职签派员基础理论知识的同时，注重实践技能与签派资源管理能力的培养和提升。课程体系建设中依托虚拟仿真实验教学平台得到业内专家一致好评，其中“签派专业技术训练系统”得到航空学会给予“国内领先，国际先进”的较高评价。教师团队注重理论与实践的结合，到一线单位收集运行案例，在教学过程中实现提升素质、提高素养、培养正确的情感和价值观的目标要求。</w:t>
      </w: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565BA"/>
    <w:rsid w:val="5F8D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2020-10-24T05:00:00Z</dcterms:created>
  <dc:creator>lenovo</dc:creator>
  <cp:lastModifiedBy>故里</cp:lastModifiedBy>
  <dcterms:modified xsi:type="dcterms:W3CDTF">2020-10-24T05:37:12Z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